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92930" cy="17329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240" w:before="0" w:after="28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/>
      </w:pPr>
      <w:r>
        <w:rPr>
          <w:rFonts w:cs="Calibri" w:ascii="Arial" w:hAnsi="Arial"/>
        </w:rPr>
        <w:t xml:space="preserve">Pour la fête de la science 2022, le groupe sciences 71 propose aux classes des cycles 1, 2 et 3 des missions et des défis à relever entre le </w:t>
      </w:r>
      <w:r>
        <w:rPr>
          <w:rFonts w:cs="Calibri" w:ascii="Arial" w:hAnsi="Arial"/>
          <w:b/>
          <w:bCs/>
        </w:rPr>
        <w:t>7 et le 25 n</w:t>
      </w:r>
      <w:r>
        <w:rPr>
          <w:rFonts w:cs="Calibri" w:ascii="Arial" w:hAnsi="Arial"/>
          <w:b/>
        </w:rPr>
        <w:t xml:space="preserve">ovembre 2022. </w:t>
      </w:r>
    </w:p>
    <w:p>
      <w:pPr>
        <w:pStyle w:val="Style31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Style31"/>
        <w:ind w:left="0" w:hanging="0"/>
        <w:rPr/>
      </w:pPr>
      <w:r>
        <w:rPr>
          <w:rFonts w:ascii="Arial" w:hAnsi="Arial"/>
        </w:rPr>
        <w:t xml:space="preserve">Le thème retenu cette année est </w:t>
      </w:r>
      <w:r>
        <w:rPr>
          <w:rFonts w:ascii="Arial" w:hAnsi="Arial"/>
          <w:b/>
          <w:bCs/>
        </w:rPr>
        <w:t>le réchauffement climatique.</w:t>
      </w:r>
      <w:r>
        <w:rPr>
          <w:rFonts w:ascii="Arial" w:hAnsi="Arial"/>
        </w:rPr>
        <w:t xml:space="preserve"> Ce sujet étant assez complexe pour les cycles 1 et 2, l'accent sera porté sur</w:t>
      </w:r>
      <w:r>
        <w:rPr>
          <w:rStyle w:val="Accentuationforte"/>
          <w:rFonts w:ascii="Arial" w:hAnsi="Arial"/>
        </w:rPr>
        <w:t xml:space="preserve"> l'air</w:t>
      </w:r>
      <w:r>
        <w:rPr>
          <w:rFonts w:ascii="Arial" w:hAnsi="Arial"/>
        </w:rPr>
        <w:t xml:space="preserve">, puisque l'atmosphère est un élément déterminant de la climatologie. </w:t>
      </w:r>
    </w:p>
    <w:p>
      <w:pPr>
        <w:pStyle w:val="Style31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ind w:left="0" w:hanging="0"/>
        <w:rPr>
          <w:rFonts w:ascii="Arial" w:hAnsi="Arial"/>
        </w:rPr>
      </w:pPr>
      <w:r>
        <w:rPr>
          <w:rFonts w:cs="Calibri" w:ascii="Arial" w:hAnsi="Arial"/>
        </w:rPr>
        <w:t xml:space="preserve">Comme chaque année, des documents pédagogiques complets vous seront proposés. </w:t>
      </w:r>
    </w:p>
    <w:p>
      <w:pPr>
        <w:pStyle w:val="Style31"/>
        <w:ind w:left="0" w:hanging="0"/>
        <w:rPr>
          <w:rFonts w:ascii="Arial" w:hAnsi="Arial"/>
        </w:rPr>
      </w:pPr>
      <w:r>
        <w:rPr>
          <w:rFonts w:cs="Calibri" w:ascii="Arial" w:hAnsi="Arial"/>
        </w:rPr>
        <w:t>Le 25 novembre, « D day » de la fête de la science, les classes auront la possibilité de communiquer  par mail avec un maître du jeu.</w:t>
      </w:r>
    </w:p>
    <w:p>
      <w:pPr>
        <w:pStyle w:val="Style31"/>
        <w:rPr/>
      </w:pPr>
      <w:r>
        <w:rPr/>
      </w:r>
    </w:p>
    <w:p>
      <w:pPr>
        <w:pStyle w:val="Style31"/>
        <w:ind w:lef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yle31"/>
        <w:ind w:left="0" w:hanging="0"/>
        <w:rPr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 xml:space="preserve">Programme : </w:t>
      </w:r>
    </w:p>
    <w:tbl>
      <w:tblPr>
        <w:tblW w:w="9388" w:type="dxa"/>
        <w:jc w:val="left"/>
        <w:tblInd w:w="-5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4"/>
        <w:gridCol w:w="1501"/>
        <w:gridCol w:w="6703"/>
      </w:tblGrid>
      <w:tr>
        <w:trPr>
          <w:trHeight w:val="412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C000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Niveau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C000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Défis/missions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Questionnement en science </w:t>
            </w:r>
          </w:p>
        </w:tc>
      </w:tr>
      <w:tr>
        <w:trPr>
          <w:cantSplit w:val="true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Niveau 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 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vent qu’est-ce que c’est ?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A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souffler de l’air ?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Défi B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rFonts w:eastAsia="SimSun" w:cs="Lucida Sans"/>
                <w:sz w:val="22"/>
                <w:szCs w:val="22"/>
                <w:lang w:bidi="hi-IN"/>
              </w:rPr>
              <w:t>Comment reconnaître la matière « air » parmi d’autres matières ?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C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Quels sont les effets du vent sur l’environnement ?</w:t>
            </w:r>
          </w:p>
        </w:tc>
      </w:tr>
      <w:tr>
        <w:trPr>
          <w:cantSplit w:val="true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Niveau 2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 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 percevoir l’existence de l’air ?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 rouge des défis : explorer une propriété de l’air : il peut déplacer ou être déplacé.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Défi A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Qu’est-ce que le vent ? 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B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rFonts w:eastAsia="SimSun" w:cs="Lucida Sans"/>
                <w:sz w:val="22"/>
                <w:szCs w:val="22"/>
                <w:lang w:bidi="hi-IN"/>
              </w:rPr>
              <w:t xml:space="preserve">Découvrir des objets qui mesurent la vitesse et la direction du vent.   A quoi servent et comment utiliser ces objets ?  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C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 déplacer des objets sans les toucher grâce au vent ?  </w:t>
            </w:r>
          </w:p>
        </w:tc>
      </w:tr>
      <w:tr>
        <w:trPr>
          <w:cantSplit w:val="true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Niveau 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Quelles sont les conséquences de la fonte des glaces ? 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A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 lieu d'habitation est-il concerné par la montée des eaux ?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B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Qu'est-ce que l'effet de serre ? </w:t>
            </w:r>
          </w:p>
        </w:tc>
      </w:tr>
      <w:tr>
        <w:trPr>
          <w:cantSplit w:val="true"/>
        </w:trPr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Défi C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agir contre le réchauffement climatique ?</w:t>
            </w:r>
          </w:p>
        </w:tc>
      </w:tr>
    </w:tbl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ind w:left="0" w:hanging="0"/>
        <w:rPr>
          <w:highlight w:val="yellow"/>
        </w:rPr>
      </w:pPr>
      <w:r>
        <w:rPr>
          <w:rFonts w:ascii="Arial" w:hAnsi="Arial"/>
          <w:b/>
          <w:bCs/>
          <w:color w:val="000000"/>
          <w:sz w:val="26"/>
          <w:szCs w:val="26"/>
          <w:highlight w:val="yellow"/>
        </w:rPr>
        <w:t>Dates à retenir :</w:t>
      </w:r>
    </w:p>
    <w:p>
      <w:pPr>
        <w:pStyle w:val="Style31"/>
        <w:ind w:lef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8770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5"/>
        <w:gridCol w:w="6404"/>
      </w:tblGrid>
      <w:tr>
        <w:trPr>
          <w:trHeight w:val="510" w:hRule="atLeast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bCs w:val="false"/>
              </w:rPr>
            </w:pPr>
            <w:r>
              <w:rPr>
                <w:bCs w:val="false"/>
                <w:i/>
              </w:rPr>
              <w:t>Du 31 août au 16 octobre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  <w:i/>
              </w:rPr>
              <w:t xml:space="preserve">Inscriptions. </w:t>
            </w:r>
          </w:p>
        </w:tc>
      </w:tr>
      <w:tr>
        <w:trPr>
          <w:trHeight w:val="510" w:hRule="atLeast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bCs w:val="false"/>
                <w:i/>
                <w:i/>
              </w:rPr>
            </w:pPr>
            <w:r>
              <w:rPr>
                <w:bCs w:val="false"/>
                <w:i/>
              </w:rPr>
              <w:t>Le lundi 3 octobre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 w:val="false"/>
              </w:rPr>
            </w:pPr>
            <w:r>
              <w:rPr>
                <w:bCs w:val="false"/>
                <w:i/>
              </w:rPr>
              <w:t xml:space="preserve">Mise en ligne des missions. </w:t>
            </w:r>
          </w:p>
        </w:tc>
      </w:tr>
      <w:tr>
        <w:trPr>
          <w:trHeight w:val="510" w:hRule="atLeast"/>
        </w:trPr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bCs w:val="false"/>
              </w:rPr>
            </w:pPr>
            <w:r>
              <w:rPr>
                <w:bCs w:val="false"/>
                <w:i/>
              </w:rPr>
              <w:t>Du 7 novembre au 24 novembre</w:t>
            </w:r>
          </w:p>
        </w:tc>
        <w:tc>
          <w:tcPr>
            <w:tcW w:w="6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 w:val="false"/>
              </w:rPr>
            </w:pPr>
            <w:r>
              <w:rPr>
                <w:bCs w:val="false"/>
                <w:i/>
              </w:rPr>
              <w:t>Réalisation des missions et envoi des réponses au maître du jeu.</w:t>
            </w:r>
          </w:p>
        </w:tc>
      </w:tr>
      <w:tr>
        <w:trPr>
          <w:trHeight w:val="510" w:hRule="atLeast"/>
        </w:trPr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bCs w:val="false"/>
              </w:rPr>
            </w:pPr>
            <w:r>
              <w:rPr>
                <w:bCs w:val="false"/>
              </w:rPr>
              <w:t xml:space="preserve">Le  mercredi 10 </w:t>
            </w:r>
            <w:r>
              <w:rPr>
                <w:bCs w:val="false"/>
                <w:i/>
              </w:rPr>
              <w:t>novembre</w:t>
            </w:r>
          </w:p>
        </w:tc>
        <w:tc>
          <w:tcPr>
            <w:tcW w:w="6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 w:val="false"/>
              </w:rPr>
            </w:pPr>
            <w:r>
              <w:rPr>
                <w:bCs w:val="false"/>
                <w:i/>
              </w:rPr>
              <w:t>Mise en ligne des défis.</w:t>
            </w:r>
          </w:p>
        </w:tc>
      </w:tr>
      <w:tr>
        <w:trPr>
          <w:trHeight w:val="510" w:hRule="atLeast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bCs w:val="false"/>
              </w:rPr>
            </w:pPr>
            <w:r>
              <w:rPr>
                <w:bCs w:val="false"/>
              </w:rPr>
              <w:t xml:space="preserve">« D day »  le vendredi 25 </w:t>
            </w:r>
            <w:r>
              <w:rPr>
                <w:bCs w:val="false"/>
                <w:i/>
              </w:rPr>
              <w:t>novembre</w:t>
            </w:r>
            <w:bookmarkStart w:id="0" w:name="_GoBack"/>
            <w:bookmarkEnd w:id="0"/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 w:val="false"/>
              </w:rPr>
            </w:pPr>
            <w:r>
              <w:rPr>
                <w:bCs w:val="false"/>
                <w:i/>
              </w:rPr>
              <w:t>Réalisation des défis.</w:t>
            </w:r>
          </w:p>
          <w:p>
            <w:pPr>
              <w:pStyle w:val="Normal"/>
              <w:spacing w:before="120" w:after="120"/>
              <w:rPr>
                <w:bCs w:val="false"/>
              </w:rPr>
            </w:pPr>
            <w:r>
              <w:rPr>
                <w:bCs w:val="false"/>
                <w:i/>
              </w:rPr>
              <w:t>Envoi des réponses au maître du jeu.</w:t>
            </w:r>
          </w:p>
        </w:tc>
      </w:tr>
    </w:tbl>
    <w:p>
      <w:pPr>
        <w:pStyle w:val="Normal"/>
        <w:rPr>
          <w:rFonts w:cs="Myriad Pro Cond;Arial"/>
          <w:bCs w:val="false"/>
          <w:iCs w:val="false"/>
          <w:sz w:val="22"/>
          <w:szCs w:val="22"/>
        </w:rPr>
      </w:pPr>
      <w:r>
        <w:rPr>
          <w:rFonts w:cs="Myriad Pro Cond;Arial"/>
          <w:bCs w:val="false"/>
          <w:iCs w:val="false"/>
          <w:sz w:val="22"/>
          <w:szCs w:val="22"/>
        </w:rPr>
      </w:r>
    </w:p>
    <w:p>
      <w:pPr>
        <w:pStyle w:val="Style31"/>
        <w:ind w:left="0" w:hanging="0"/>
        <w:rPr/>
      </w:pPr>
      <w:r>
        <w:rPr>
          <w:rStyle w:val="LienInternet"/>
          <w:rFonts w:ascii="Arial" w:hAnsi="Arial"/>
          <w:b/>
          <w:bCs/>
          <w:color w:val="000000"/>
          <w:sz w:val="26"/>
          <w:szCs w:val="26"/>
          <w:highlight w:val="yellow"/>
          <w:u w:val="none"/>
        </w:rPr>
        <w:t>Pour plus d’informations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2617470</wp:posOffset>
            </wp:positionH>
            <wp:positionV relativeFrom="paragraph">
              <wp:posOffset>39370</wp:posOffset>
            </wp:positionV>
            <wp:extent cx="1995170" cy="1624965"/>
            <wp:effectExtent l="0" t="0" r="0" b="0"/>
            <wp:wrapSquare wrapText="largest"/>
            <wp:docPr id="2" name="HTTPS://SCIENCES-EEDD71.CIR.AC-DIJON.FR/?PAGE_ID=6438&amp;PREVIEW_ID=6438&amp;PREVIEW_NONCE=2EBD8D0465&amp;_THUMBNAIL_ID=-1&amp;PREVIEW=TRUE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TPS://SCIENCES-EEDD71.CIR.AC-DIJON.FR/?PAGE_ID=6438&amp;PREVIEW_ID=6438&amp;PREVIEW_NONCE=2EBD8D0465&amp;_THUMBNAIL_ID=-1&amp;PREVIEW=TRUE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LienInternet"/>
          <w:rFonts w:ascii="Arial" w:hAnsi="Arial"/>
          <w:b/>
          <w:bCs/>
          <w:color w:val="000000"/>
          <w:sz w:val="26"/>
          <w:szCs w:val="26"/>
          <w:highlight w:val="yellow"/>
          <w:u w:val="none"/>
        </w:rPr>
        <w:t> </w:t>
      </w:r>
      <w:r>
        <w:rPr>
          <w:rStyle w:val="LienInternet"/>
          <w:rFonts w:ascii="Arial" w:hAnsi="Arial"/>
          <w:b/>
          <w:bCs/>
          <w:color w:val="000000"/>
          <w:sz w:val="26"/>
          <w:szCs w:val="26"/>
          <w:highlight w:val="yellow"/>
          <w:u w:val="none"/>
        </w:rPr>
        <w:t>:</w:t>
      </w:r>
    </w:p>
    <w:p>
      <w:pPr>
        <w:pStyle w:val="Style31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31"/>
        <w:rPr>
          <w:rFonts w:ascii="Arial" w:hAnsi="Arial"/>
        </w:rPr>
      </w:pPr>
      <w:r>
        <w:rPr>
          <w:rStyle w:val="LienInternet"/>
        </w:rPr>
        <w:t>https://sciences-eedd71.cir.ac-dijon.fr/?page_id=6438</w:t>
      </w:r>
    </w:p>
    <w:p>
      <w:pPr>
        <w:pStyle w:val="Style31"/>
        <w:spacing w:before="0" w:after="200"/>
        <w:contextualSpacing/>
        <w:rPr>
          <w:rFonts w:ascii="Arial" w:hAnsi="Arial"/>
        </w:rPr>
      </w:pPr>
      <w:r>
        <w:rPr/>
      </w:r>
    </w:p>
    <w:sectPr>
      <w:type w:val="nextPage"/>
      <w:pgSz w:w="11906" w:h="16838"/>
      <w:pgMar w:left="1417" w:right="1417" w:header="0" w:top="993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Myriad Pro Cond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ang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Calibri" w:cs="Arial"/>
      <w:bCs/>
      <w:iCs/>
      <w:color w:val="auto"/>
      <w:kern w:val="0"/>
      <w:sz w:val="24"/>
      <w:szCs w:val="24"/>
      <w:lang w:bidi="ar-SA" w:val="fr-FR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Times New Roman" w:hAnsi="Times New Roman" w:cs="Times New Roman"/>
      <w:sz w:val="22"/>
      <w:szCs w:val="22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LienInternet" w:customStyle="1">
    <w:name w:val="Lien Internet"/>
    <w:rPr>
      <w:color w:val="0000FF"/>
      <w:u w:val="single"/>
    </w:rPr>
  </w:style>
  <w:style w:type="character" w:styleId="EntteCar" w:customStyle="1">
    <w:name w:val="En-tête Car"/>
    <w:qFormat/>
    <w:rPr>
      <w:bCs/>
      <w:iCs/>
      <w:sz w:val="24"/>
      <w:szCs w:val="24"/>
    </w:rPr>
  </w:style>
  <w:style w:type="character" w:styleId="PieddepageCar" w:customStyle="1">
    <w:name w:val="Pied de page Car"/>
    <w:qFormat/>
    <w:rPr>
      <w:bCs/>
      <w:iCs/>
      <w:sz w:val="24"/>
      <w:szCs w:val="24"/>
    </w:rPr>
  </w:style>
  <w:style w:type="character" w:styleId="Style2Car" w:customStyle="1">
    <w:name w:val="Style2 Car"/>
    <w:qFormat/>
    <w:rPr>
      <w:rFonts w:ascii="Calibri" w:hAnsi="Calibri" w:eastAsia="Calibri" w:cs="Times New Roman"/>
      <w:b/>
      <w:i/>
      <w:color w:val="C00000"/>
      <w:sz w:val="26"/>
      <w:szCs w:val="26"/>
    </w:rPr>
  </w:style>
  <w:style w:type="character" w:styleId="ParagraphedelisteCar" w:customStyle="1">
    <w:name w:val="Paragraphe de liste Car"/>
    <w:qFormat/>
    <w:rPr>
      <w:rFonts w:ascii="Calibri" w:hAnsi="Calibri" w:eastAsia="Calibri" w:cs="Times New Roman"/>
      <w:sz w:val="22"/>
      <w:szCs w:val="22"/>
    </w:rPr>
  </w:style>
  <w:style w:type="character" w:styleId="Style3Car" w:customStyle="1">
    <w:name w:val="Style3 Car"/>
    <w:qFormat/>
    <w:rPr>
      <w:rFonts w:ascii="Myriad Pro Cond;Arial" w:hAnsi="Myriad Pro Cond;Arial" w:eastAsia="Calibri" w:cs="Times New Roman"/>
      <w:sz w:val="22"/>
      <w:szCs w:val="22"/>
    </w:rPr>
  </w:style>
  <w:style w:type="character" w:styleId="LienInternetvisit" w:customStyle="1">
    <w:name w:val="Lien Internet visité"/>
    <w:rPr>
      <w:color w:val="800000"/>
      <w:u w:val="single"/>
    </w:rPr>
  </w:style>
  <w:style w:type="character" w:styleId="TextedebullesCar" w:customStyle="1">
    <w:name w:val="Texte de bulles Car"/>
    <w:qFormat/>
    <w:rPr>
      <w:rFonts w:ascii="Segoe UI" w:hAnsi="Segoe UI" w:cs="Mangal"/>
      <w:sz w:val="18"/>
      <w:szCs w:val="16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cs="Times New Roman"/>
      <w:bCs w:val="false"/>
      <w:iCs w:val="false"/>
      <w:sz w:val="22"/>
      <w:szCs w:val="22"/>
    </w:rPr>
  </w:style>
  <w:style w:type="paragraph" w:styleId="Style21" w:customStyle="1">
    <w:name w:val="Style2"/>
    <w:basedOn w:val="Normal"/>
    <w:qFormat/>
    <w:pPr>
      <w:pBdr>
        <w:bottom w:val="single" w:sz="4" w:space="1" w:color="000000"/>
      </w:pBdr>
    </w:pPr>
    <w:rPr>
      <w:rFonts w:ascii="Calibri" w:hAnsi="Calibri" w:cs="Times New Roman"/>
      <w:b/>
      <w:bCs w:val="false"/>
      <w:i/>
      <w:iCs w:val="false"/>
      <w:color w:val="C00000"/>
      <w:sz w:val="26"/>
      <w:szCs w:val="26"/>
    </w:rPr>
  </w:style>
  <w:style w:type="paragraph" w:styleId="Style31" w:customStyle="1">
    <w:name w:val="Style3"/>
    <w:basedOn w:val="ListParagraph"/>
    <w:qFormat/>
    <w:pPr/>
    <w:rPr>
      <w:rFonts w:ascii="Myriad Pro Cond;Arial" w:hAnsi="Myriad Pro Cond;Arial" w:cs="Myriad Pro Cond;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2"/>
      <w:lang w:bidi="ar-SA" w:val="fr-FR" w:eastAsia="zh-CN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bCs w:val="false"/>
      <w:iCs w:val="false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</w:rPr>
  </w:style>
  <w:style w:type="paragraph" w:styleId="Contenudecadre" w:customStyle="1">
    <w:name w:val="Contenu de cadre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Mangal" w:hAnsi="Mangal" w:eastAsia="Tahoma" w:cs="Liberation Sans;Arial"/>
      <w:color w:val="000000"/>
      <w:kern w:val="0"/>
      <w:sz w:val="36"/>
      <w:szCs w:val="24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ciences-eedd71.cir.ac-dijon.fr/?page_id=6438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4</Pages>
  <Words>334</Words>
  <Characters>1564</Characters>
  <CharactersWithSpaces>1872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2022-06-21T17:12:00Z</dcterms:created>
  <dc:creator>vincent.poulain</dc:creator>
  <dc:description/>
  <dc:language>fr-FR</dc:language>
  <cp:lastModifiedBy>Myriam Pichon-Dufourt</cp:lastModifiedBy>
  <cp:lastPrinted>1995-11-21T17:41:00Z</cp:lastPrinted>
  <dcterms:modified xsi:type="dcterms:W3CDTF">2022-06-21T17:12:00Z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